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7777777" w:rsidR="00552DA9" w:rsidRDefault="00552DA9" w:rsidP="00A3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28F3A5BE" w:rsidR="00552DA9" w:rsidRPr="00EB3026" w:rsidRDefault="00552DA9" w:rsidP="00A3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</w:t>
      </w:r>
      <w:r w:rsidR="00A3424F">
        <w:rPr>
          <w:rFonts w:ascii="Marianne" w:hAnsi="Marianne"/>
          <w:b/>
          <w:sz w:val="20"/>
          <w:szCs w:val="20"/>
        </w:rPr>
        <w:t xml:space="preserve">ET INTEDEPARTEMENTALE </w:t>
      </w:r>
      <w:r>
        <w:rPr>
          <w:rFonts w:ascii="Marianne" w:hAnsi="Marianne"/>
          <w:b/>
          <w:sz w:val="20"/>
          <w:szCs w:val="20"/>
        </w:rPr>
        <w:t xml:space="preserve">DE L’ALIMENTATION, DE L’AGRICULTURE ET DE LA FORET </w:t>
      </w:r>
      <w:r w:rsidR="00A3424F">
        <w:rPr>
          <w:rFonts w:ascii="Marianne" w:hAnsi="Marianne"/>
          <w:b/>
          <w:sz w:val="20"/>
          <w:szCs w:val="20"/>
        </w:rPr>
        <w:t>D’ÎLE-DE-FRANCE</w:t>
      </w:r>
    </w:p>
    <w:p w14:paraId="7867114F" w14:textId="5D7A4120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7C90435B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A3424F">
        <w:rPr>
          <w:rFonts w:ascii="Marianne" w:hAnsi="Marianne"/>
          <w:b/>
        </w:rPr>
        <w:t>4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35A277CC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 xml:space="preserve">’appel à projets « Aide aux investissements portant sur des infrastructures hydrauliques agricoles d’irrigation dans le cadre du plan d’action pour une gestion résiliente et concertée de l’eau » ouvert du </w:t>
      </w:r>
      <w:r w:rsidR="001C527F" w:rsidRPr="001C527F">
        <w:rPr>
          <w:rFonts w:ascii="Marianne" w:hAnsi="Marianne"/>
        </w:rPr>
        <w:t xml:space="preserve">12 août </w:t>
      </w:r>
      <w:r w:rsidR="00EA409C">
        <w:rPr>
          <w:rFonts w:ascii="Marianne" w:hAnsi="Marianne"/>
        </w:rPr>
        <w:t xml:space="preserve">au </w:t>
      </w:r>
      <w:r w:rsidR="001C527F" w:rsidRPr="001C527F">
        <w:rPr>
          <w:rFonts w:ascii="Marianne" w:hAnsi="Marianne"/>
        </w:rPr>
        <w:t xml:space="preserve">3 octobre </w:t>
      </w:r>
      <w:r w:rsidR="00EA409C">
        <w:rPr>
          <w:rFonts w:ascii="Marianne" w:hAnsi="Marianne"/>
        </w:rPr>
        <w:t>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720262D6" w14:textId="722FD86E" w:rsidR="00712467" w:rsidRPr="0020378B" w:rsidRDefault="00712467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71600447" w14:textId="04F16C79" w:rsidR="008F5E7A" w:rsidRPr="00357A1B" w:rsidRDefault="008F5E7A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lastRenderedPageBreak/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>u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une augmentation substantielle d’émission de gaz à effet de serre</w:t>
            </w:r>
          </w:p>
          <w:p w14:paraId="72481B62" w14:textId="60EB2037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avoir d’impact sur ce critère de </w:t>
            </w:r>
            <w:proofErr w:type="spellStart"/>
            <w:r w:rsidRPr="00AE1129">
              <w:rPr>
                <w:rFonts w:ascii="Marianne" w:hAnsi="Marianne"/>
                <w:bCs/>
              </w:rPr>
              <w:t>part</w:t>
            </w:r>
            <w:proofErr w:type="spellEnd"/>
            <w:r w:rsidRPr="00AE1129">
              <w:rPr>
                <w:rFonts w:ascii="Marianne" w:hAnsi="Marianne"/>
                <w:bCs/>
              </w:rPr>
              <w:t xml:space="preserve">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E1BDF1F" w14:textId="7D3A9DE0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63DC8C6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58A447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4719199" w14:textId="006CC088" w:rsidR="00AC6457" w:rsidRDefault="00AC645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722C213" w14:textId="3B7C343C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6ECC53B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0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0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5A7512">
            <w:pPr>
              <w:pStyle w:val="Paragraphedeliste"/>
              <w:jc w:val="center"/>
              <w:rPr>
                <w:rFonts w:ascii="Marianne" w:hAnsi="Marianne"/>
                <w:bCs/>
              </w:rPr>
            </w:pPr>
            <w:bookmarkStart w:id="1" w:name="_GoBack"/>
            <w:bookmarkEnd w:id="1"/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7BB5895E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47FA7CC" w14:textId="77777777" w:rsidR="00467AF5" w:rsidRDefault="00467AF5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2F51ADC" w14:textId="77777777" w:rsidR="00145567" w:rsidRDefault="00145567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27CB837F" w14:textId="77777777" w:rsidR="000C2CDF" w:rsidRPr="00631EE5" w:rsidRDefault="000C2CDF" w:rsidP="000C2CDF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</w:t>
      </w:r>
      <w:r>
        <w:rPr>
          <w:rFonts w:ascii="Marianne" w:hAnsi="Marianne"/>
          <w:b/>
          <w:u w:val="single"/>
        </w:rPr>
        <w:t>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C8F36B6" w14:textId="77777777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C041E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04F5C39" w14:textId="77777777" w:rsidR="000C2CDF" w:rsidRPr="00CC413C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77777777" w:rsidR="000C2CDF" w:rsidRDefault="000C2CDF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0C697D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R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5A7512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5A7512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7604" w16cex:dateUtc="2025-07-0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07E81" w16cid:durableId="2C127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23102"/>
      <w:docPartObj>
        <w:docPartGallery w:val="Page Numbers (Bottom of Page)"/>
        <w:docPartUnique/>
      </w:docPartObj>
    </w:sdtPr>
    <w:sdtContent>
      <w:p w14:paraId="65D5CBDA" w14:textId="65E5080F" w:rsidR="005A7512" w:rsidRDefault="005A751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AC5C" w14:textId="7167DBFF" w:rsidR="00A3424F" w:rsidRPr="00CE6A64" w:rsidRDefault="00A3424F" w:rsidP="00A3424F">
    <w:pPr>
      <w:pStyle w:val="Sansinterligne"/>
      <w:jc w:val="right"/>
      <w:rPr>
        <w:rFonts w:ascii="Marianne" w:hAnsi="Marianne" w:cs="Arial"/>
        <w:sz w:val="24"/>
        <w:szCs w:val="24"/>
      </w:rPr>
    </w:pPr>
    <w:r w:rsidRPr="00A84FCE">
      <w:rPr>
        <w:rFonts w:ascii="Arial Narrow" w:hAnsi="Arial Narrow" w:cs="Arial Narrow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17DB829E" wp14:editId="2F1D6EE6">
          <wp:simplePos x="0" y="0"/>
          <wp:positionH relativeFrom="margin">
            <wp:posOffset>-82550</wp:posOffset>
          </wp:positionH>
          <wp:positionV relativeFrom="paragraph">
            <wp:posOffset>-262255</wp:posOffset>
          </wp:positionV>
          <wp:extent cx="914400" cy="7302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6A64">
      <w:rPr>
        <w:rFonts w:ascii="Marianne" w:hAnsi="Marianne" w:cs="Arial"/>
        <w:sz w:val="24"/>
        <w:szCs w:val="24"/>
      </w:rPr>
      <w:t xml:space="preserve">Direction </w:t>
    </w:r>
    <w:r>
      <w:rPr>
        <w:rFonts w:ascii="Marianne" w:hAnsi="Marianne" w:cs="Arial"/>
        <w:sz w:val="24"/>
        <w:szCs w:val="24"/>
      </w:rPr>
      <w:t>régionale et interdépartementale de l’alimentation, de l’agriculture et de la forêt</w:t>
    </w:r>
  </w:p>
  <w:p w14:paraId="6700EEC7" w14:textId="4F22496E" w:rsidR="009E74FB" w:rsidRDefault="009E7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061CF"/>
    <w:rsid w:val="001108E2"/>
    <w:rsid w:val="001161DD"/>
    <w:rsid w:val="00145567"/>
    <w:rsid w:val="00150F9E"/>
    <w:rsid w:val="001A35F5"/>
    <w:rsid w:val="001B59DE"/>
    <w:rsid w:val="001C527F"/>
    <w:rsid w:val="001E0ACB"/>
    <w:rsid w:val="0020378B"/>
    <w:rsid w:val="002318E4"/>
    <w:rsid w:val="00240A24"/>
    <w:rsid w:val="00276D3B"/>
    <w:rsid w:val="0028585C"/>
    <w:rsid w:val="00315078"/>
    <w:rsid w:val="00331169"/>
    <w:rsid w:val="00350CE5"/>
    <w:rsid w:val="00357A1B"/>
    <w:rsid w:val="00361A21"/>
    <w:rsid w:val="0036686B"/>
    <w:rsid w:val="003E48A2"/>
    <w:rsid w:val="00415B35"/>
    <w:rsid w:val="00467AF5"/>
    <w:rsid w:val="00496060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A7512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54A61"/>
    <w:rsid w:val="00863E9B"/>
    <w:rsid w:val="008F1E73"/>
    <w:rsid w:val="008F5E7A"/>
    <w:rsid w:val="00916F0A"/>
    <w:rsid w:val="00957F1C"/>
    <w:rsid w:val="009B332E"/>
    <w:rsid w:val="009D2BA1"/>
    <w:rsid w:val="009D6847"/>
    <w:rsid w:val="009E74FB"/>
    <w:rsid w:val="00A21EB6"/>
    <w:rsid w:val="00A3424F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C07D96"/>
    <w:rsid w:val="00C427C1"/>
    <w:rsid w:val="00C76C85"/>
    <w:rsid w:val="00CC413C"/>
    <w:rsid w:val="00D2271B"/>
    <w:rsid w:val="00D22D01"/>
    <w:rsid w:val="00D237A7"/>
    <w:rsid w:val="00D3567D"/>
    <w:rsid w:val="00D71875"/>
    <w:rsid w:val="00D751C7"/>
    <w:rsid w:val="00D83919"/>
    <w:rsid w:val="00DA57DC"/>
    <w:rsid w:val="00E03BE2"/>
    <w:rsid w:val="00E25821"/>
    <w:rsid w:val="00E363E1"/>
    <w:rsid w:val="00E4491E"/>
    <w:rsid w:val="00E547CF"/>
    <w:rsid w:val="00EA409C"/>
    <w:rsid w:val="00EE0D1A"/>
    <w:rsid w:val="00EE6B80"/>
    <w:rsid w:val="00F434B7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A3424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AFFB-3898-4934-ABD0-18EA395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Anne-Laure LAVAL</cp:lastModifiedBy>
  <cp:revision>6</cp:revision>
  <dcterms:created xsi:type="dcterms:W3CDTF">2025-08-01T11:59:00Z</dcterms:created>
  <dcterms:modified xsi:type="dcterms:W3CDTF">2025-08-11T14:28:00Z</dcterms:modified>
</cp:coreProperties>
</file>